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F74C60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1E458A28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F75383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Αποκατάσταση Αντιπροσωπείου της Ι. Μ</w:t>
            </w:r>
            <w:r w:rsidR="001D2528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.</w:t>
            </w:r>
            <w:r w:rsidR="00F75383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Παντοκράτορος στις Καρυές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306A55AB" w:rsidR="00C046A1" w:rsidRPr="006B0B0B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Υποέργο</w:t>
            </w:r>
            <w:r w:rsidR="00273129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F75383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3</w:t>
            </w:r>
            <w:r w:rsidR="00C046A1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 «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Προμήθεια </w:t>
            </w:r>
            <w:r w:rsidR="00917DEE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="00C046A1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375233A1" w:rsidR="001D7816" w:rsidRPr="006B0B0B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: «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Οικοδομικά Υλικά, CPV 44111000-1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5A722C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5365053" w14:textId="58C3EBC0" w:rsidR="000A4310" w:rsidRPr="006B0B0B" w:rsidRDefault="006B0B0B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FAEB346" w14:textId="547CAADD" w:rsidR="000A4310" w:rsidRPr="006B0B0B" w:rsidRDefault="008B47BB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2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9"/>
        <w:gridCol w:w="4140"/>
        <w:gridCol w:w="2120"/>
        <w:gridCol w:w="2120"/>
      </w:tblGrid>
      <w:tr w:rsidR="006B0B0B" w:rsidRPr="006B0B0B" w14:paraId="02AFCF20" w14:textId="3E50BF86" w:rsidTr="006B0B0B">
        <w:trPr>
          <w:trHeight w:val="600"/>
          <w:jc w:val="center"/>
        </w:trPr>
        <w:tc>
          <w:tcPr>
            <w:tcW w:w="869" w:type="dxa"/>
            <w:shd w:val="clear" w:color="000000" w:fill="D9D9D9"/>
            <w:vAlign w:val="center"/>
            <w:hideMark/>
          </w:tcPr>
          <w:p w14:paraId="43F067AF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bookmarkStart w:id="0" w:name="_Hlk114645421"/>
            <w:r w:rsidRPr="006B0B0B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4140" w:type="dxa"/>
            <w:shd w:val="clear" w:color="000000" w:fill="D9D9D9"/>
            <w:vAlign w:val="center"/>
            <w:hideMark/>
          </w:tcPr>
          <w:p w14:paraId="78C67438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2120" w:type="dxa"/>
            <w:shd w:val="clear" w:color="000000" w:fill="D9D9D9"/>
            <w:vAlign w:val="center"/>
            <w:hideMark/>
          </w:tcPr>
          <w:p w14:paraId="70658BC4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2120" w:type="dxa"/>
            <w:shd w:val="clear" w:color="000000" w:fill="D9D9D9"/>
            <w:vAlign w:val="center"/>
          </w:tcPr>
          <w:p w14:paraId="3AD03C51" w14:textId="6E0F1A9B" w:rsidR="006B0B0B" w:rsidRPr="006B0B0B" w:rsidRDefault="006B0B0B" w:rsidP="006B0B0B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6B0B0B" w:rsidRPr="006B0B0B" w14:paraId="681D920C" w14:textId="61A6B196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  <w:hideMark/>
          </w:tcPr>
          <w:p w14:paraId="2DA9A7E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609B72B5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Τσιμέντο σε σάκους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468C6B2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197-1:2000</w:t>
            </w:r>
          </w:p>
          <w:p w14:paraId="13F7E2D5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197-2:2000</w:t>
            </w:r>
          </w:p>
          <w:p w14:paraId="27C5BE2D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196-1</w:t>
            </w:r>
          </w:p>
        </w:tc>
        <w:tc>
          <w:tcPr>
            <w:tcW w:w="2120" w:type="dxa"/>
          </w:tcPr>
          <w:p w14:paraId="52F7B03E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730CE1E9" w14:textId="033111D2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  <w:hideMark/>
          </w:tcPr>
          <w:p w14:paraId="5178BE0F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20202E47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Τσιμέντο λευκό σε σάκους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D9C11B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197-1:2000</w:t>
            </w:r>
          </w:p>
          <w:p w14:paraId="375F7A1C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197-2:2000</w:t>
            </w:r>
          </w:p>
          <w:p w14:paraId="64DC509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196-1</w:t>
            </w:r>
          </w:p>
        </w:tc>
        <w:tc>
          <w:tcPr>
            <w:tcW w:w="2120" w:type="dxa"/>
          </w:tcPr>
          <w:p w14:paraId="0C8549DC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445FEB4C" w14:textId="706F229C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504389CD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A0A5583" w14:textId="7F917A68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3Α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97F6CD8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12620:2008</w:t>
            </w:r>
          </w:p>
          <w:p w14:paraId="787F3D4F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13139:2002</w:t>
            </w:r>
          </w:p>
        </w:tc>
        <w:tc>
          <w:tcPr>
            <w:tcW w:w="2120" w:type="dxa"/>
          </w:tcPr>
          <w:p w14:paraId="728FB983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28D74B55" w14:textId="0ECCDB71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2ED29628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FD74450" w14:textId="3B5E7652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Άμμος</w:t>
            </w:r>
            <w:r>
              <w:rPr>
                <w:sz w:val="20"/>
                <w:szCs w:val="20"/>
                <w:lang w:val="el-GR" w:eastAsia="el-GR"/>
              </w:rPr>
              <w:t xml:space="preserve"> (</w:t>
            </w:r>
            <w:r w:rsidRPr="006B0B0B">
              <w:rPr>
                <w:sz w:val="20"/>
                <w:szCs w:val="20"/>
                <w:lang w:val="el-GR" w:eastAsia="el-GR"/>
              </w:rPr>
              <w:t xml:space="preserve">Φυσική άμμος ποταμού (0–5 </w:t>
            </w:r>
            <w:proofErr w:type="spellStart"/>
            <w:r w:rsidRPr="006B0B0B">
              <w:rPr>
                <w:sz w:val="20"/>
                <w:szCs w:val="20"/>
                <w:lang w:val="el-GR" w:eastAsia="el-GR"/>
              </w:rPr>
              <w:t>mm</w:t>
            </w:r>
            <w:proofErr w:type="spellEnd"/>
            <w:r w:rsidRPr="006B0B0B">
              <w:rPr>
                <w:sz w:val="20"/>
                <w:szCs w:val="20"/>
                <w:lang w:val="el-GR" w:eastAsia="el-GR"/>
              </w:rPr>
              <w:t>)</w:t>
            </w:r>
            <w:r>
              <w:rPr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0648B5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ΕΝ 12620:2008</w:t>
            </w:r>
          </w:p>
          <w:p w14:paraId="0C42D0D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lastRenderedPageBreak/>
              <w:t>EN 13055-1:2002</w:t>
            </w:r>
          </w:p>
          <w:p w14:paraId="7A51A296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EN 13139-1:2002</w:t>
            </w:r>
          </w:p>
        </w:tc>
        <w:tc>
          <w:tcPr>
            <w:tcW w:w="2120" w:type="dxa"/>
          </w:tcPr>
          <w:p w14:paraId="640B337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B0B0B" w:rsidRPr="006B0B0B" w14:paraId="0483894E" w14:textId="1CC2965B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6671B2A6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2DF820B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Ασβέστης (πολτός)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38C9D83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459-1:20</w:t>
            </w:r>
            <w:r w:rsidRPr="006B0B0B">
              <w:rPr>
                <w:sz w:val="20"/>
                <w:szCs w:val="20"/>
                <w:lang w:val="en-US" w:eastAsia="el-GR"/>
              </w:rPr>
              <w:t>1</w:t>
            </w:r>
            <w:r w:rsidRPr="006B0B0B">
              <w:rPr>
                <w:sz w:val="20"/>
                <w:szCs w:val="20"/>
                <w:lang w:val="el-GR" w:eastAsia="el-GR"/>
              </w:rPr>
              <w:t>5/</w:t>
            </w:r>
            <w:r w:rsidRPr="006B0B0B">
              <w:rPr>
                <w:sz w:val="20"/>
                <w:szCs w:val="20"/>
                <w:lang w:val="de-DE" w:eastAsia="el-GR"/>
              </w:rPr>
              <w:t xml:space="preserve">ISO </w:t>
            </w:r>
            <w:r w:rsidRPr="006B0B0B">
              <w:rPr>
                <w:sz w:val="20"/>
                <w:szCs w:val="20"/>
                <w:lang w:val="en-US" w:eastAsia="el-GR"/>
              </w:rPr>
              <w:t>9001</w:t>
            </w:r>
          </w:p>
        </w:tc>
        <w:tc>
          <w:tcPr>
            <w:tcW w:w="2120" w:type="dxa"/>
          </w:tcPr>
          <w:p w14:paraId="700EDC06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1BF58AEC" w14:textId="051BD083" w:rsidTr="006B0B0B">
        <w:trPr>
          <w:trHeight w:val="58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4537193A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1.6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DCFA022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6B0B0B">
              <w:rPr>
                <w:sz w:val="20"/>
                <w:szCs w:val="20"/>
                <w:lang w:val="el-GR" w:eastAsia="el-GR"/>
              </w:rPr>
              <w:t>Υδράσβεστος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513F1EED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 459-1:20</w:t>
            </w:r>
            <w:r w:rsidRPr="006B0B0B">
              <w:rPr>
                <w:sz w:val="20"/>
                <w:szCs w:val="20"/>
                <w:lang w:val="en-US" w:eastAsia="el-GR"/>
              </w:rPr>
              <w:t>1</w:t>
            </w:r>
            <w:r w:rsidRPr="006B0B0B">
              <w:rPr>
                <w:sz w:val="20"/>
                <w:szCs w:val="20"/>
                <w:lang w:val="el-GR" w:eastAsia="el-GR"/>
              </w:rPr>
              <w:t>5</w:t>
            </w:r>
          </w:p>
          <w:p w14:paraId="7D925D8F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EN 459-2</w:t>
            </w:r>
          </w:p>
          <w:p w14:paraId="731C33A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EN 933-2</w:t>
            </w:r>
          </w:p>
        </w:tc>
        <w:tc>
          <w:tcPr>
            <w:tcW w:w="2120" w:type="dxa"/>
          </w:tcPr>
          <w:p w14:paraId="171AEEA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4303AFB6" w14:textId="7F427E4A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35DF34B6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1.7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EF5EDB4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Θηραϊκή  γη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BACE616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ASTM C593-06</w:t>
            </w:r>
          </w:p>
        </w:tc>
        <w:tc>
          <w:tcPr>
            <w:tcW w:w="2120" w:type="dxa"/>
          </w:tcPr>
          <w:p w14:paraId="34F3E63A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B0B0B" w:rsidRPr="006B0B0B" w14:paraId="7818FFF4" w14:textId="0BD416F7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F78AB2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1.8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34B4020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Κουρασάνι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8E7EBC3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EN 480-1:1997</w:t>
            </w:r>
          </w:p>
          <w:p w14:paraId="444C4D0A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EN 934-2:2001</w:t>
            </w:r>
          </w:p>
          <w:p w14:paraId="3E345120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ΕΝ 998-2</w:t>
            </w:r>
          </w:p>
        </w:tc>
        <w:tc>
          <w:tcPr>
            <w:tcW w:w="2120" w:type="dxa"/>
          </w:tcPr>
          <w:p w14:paraId="6281B7AD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</w:p>
        </w:tc>
      </w:tr>
      <w:tr w:rsidR="006B0B0B" w:rsidRPr="006B0B0B" w14:paraId="7EB3C077" w14:textId="25705FA9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22030D8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1.9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7FEBC63" w14:textId="1CF336DF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 xml:space="preserve">Κόκκοι διογκωμένου </w:t>
            </w:r>
            <w:proofErr w:type="spellStart"/>
            <w:r w:rsidRPr="006B0B0B">
              <w:rPr>
                <w:sz w:val="20"/>
                <w:szCs w:val="20"/>
                <w:lang w:val="el-GR" w:eastAsia="el-GR"/>
              </w:rPr>
              <w:t>περλίτη</w:t>
            </w:r>
            <w:proofErr w:type="spellEnd"/>
            <w:r w:rsidRPr="006B0B0B">
              <w:rPr>
                <w:sz w:val="20"/>
                <w:szCs w:val="20"/>
                <w:lang w:val="el-GR" w:eastAsia="el-GR"/>
              </w:rPr>
              <w:t xml:space="preserve"> για μόνωση ξύλινων δαπέδων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28E0DC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ΕΝ 13055-1</w:t>
            </w:r>
          </w:p>
        </w:tc>
        <w:tc>
          <w:tcPr>
            <w:tcW w:w="2120" w:type="dxa"/>
          </w:tcPr>
          <w:p w14:paraId="63129AE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</w:p>
        </w:tc>
      </w:tr>
      <w:tr w:rsidR="006B0B0B" w:rsidRPr="006B0B0B" w14:paraId="0A9D5C39" w14:textId="5BCC8453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50EB9D60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1.10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A01475C" w14:textId="6616AD20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Οπλισμός</w:t>
            </w:r>
            <w:r>
              <w:rPr>
                <w:sz w:val="20"/>
                <w:szCs w:val="20"/>
                <w:lang w:val="el-GR" w:eastAsia="el-GR"/>
              </w:rPr>
              <w:t xml:space="preserve"> (χ</w:t>
            </w:r>
            <w:r w:rsidRPr="006B0B0B">
              <w:rPr>
                <w:sz w:val="20"/>
                <w:szCs w:val="20"/>
                <w:lang w:val="el-GR" w:eastAsia="el-GR"/>
              </w:rPr>
              <w:t>αλύβδινος οπλισμός Β500c</w:t>
            </w:r>
            <w:r>
              <w:rPr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E1B8C4F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10080</w:t>
            </w:r>
          </w:p>
          <w:p w14:paraId="21E27E27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ΕΝ1421-3</w:t>
            </w:r>
          </w:p>
          <w:p w14:paraId="090E74A4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ΤΠ 1501-01-02-01-00</w:t>
            </w:r>
          </w:p>
        </w:tc>
        <w:tc>
          <w:tcPr>
            <w:tcW w:w="2120" w:type="dxa"/>
          </w:tcPr>
          <w:p w14:paraId="4FFD5525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1E22997E" w14:textId="44B842FC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51E7A35D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1.11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E730A84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Δομικό πλέγμα Τ131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E673AB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ΕΝ1421-2</w:t>
            </w:r>
          </w:p>
          <w:p w14:paraId="3944C41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10080</w:t>
            </w:r>
          </w:p>
        </w:tc>
        <w:tc>
          <w:tcPr>
            <w:tcW w:w="2120" w:type="dxa"/>
          </w:tcPr>
          <w:p w14:paraId="6BEE8F84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1AA5C462" w14:textId="3A04B037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30673E08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1.12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3C388C9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Ξυλεία ξυλοτύπου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F632C4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</w:rPr>
              <w:t>EN 14081</w:t>
            </w:r>
          </w:p>
        </w:tc>
        <w:tc>
          <w:tcPr>
            <w:tcW w:w="2120" w:type="dxa"/>
          </w:tcPr>
          <w:p w14:paraId="60E91228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B0B0B" w:rsidRPr="006B0B0B" w14:paraId="709AB85A" w14:textId="686A831D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646BA65C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1.1</w:t>
            </w:r>
            <w:r w:rsidRPr="006B0B0B">
              <w:rPr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0DA118F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Διάτρητοι πλίνθοι 9x19x</w:t>
            </w:r>
            <w:r w:rsidRPr="006B0B0B">
              <w:rPr>
                <w:sz w:val="20"/>
                <w:szCs w:val="20"/>
                <w:lang w:val="en-US" w:eastAsia="el-GR"/>
              </w:rPr>
              <w:t>19</w:t>
            </w:r>
            <w:r w:rsidRPr="006B0B0B">
              <w:rPr>
                <w:sz w:val="20"/>
                <w:szCs w:val="20"/>
                <w:lang w:val="el-GR" w:eastAsia="el-GR"/>
              </w:rPr>
              <w:t>cm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8E05146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120" w:type="dxa"/>
          </w:tcPr>
          <w:p w14:paraId="5934CFAB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B0B0B" w:rsidRPr="006B0B0B" w14:paraId="4729D41F" w14:textId="5A0FAEAF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A9F514C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1.1</w:t>
            </w:r>
            <w:r w:rsidRPr="006B0B0B">
              <w:rPr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CFED382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Συμπαγείς πλίνθοι 6x9x19cm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70508A7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-</w:t>
            </w:r>
          </w:p>
        </w:tc>
        <w:tc>
          <w:tcPr>
            <w:tcW w:w="2120" w:type="dxa"/>
          </w:tcPr>
          <w:p w14:paraId="26AD481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0DBFB51A" w14:textId="60B27B81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2ABB80DB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1.1</w:t>
            </w:r>
            <w:r w:rsidRPr="006B0B0B">
              <w:rPr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64B11FE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Πυρίμαχοι πλίνθοι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8FE4592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120" w:type="dxa"/>
          </w:tcPr>
          <w:p w14:paraId="3A390112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B0B0B" w:rsidRPr="006B0B0B" w14:paraId="2A918837" w14:textId="37EAD705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0E936FBB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</w:t>
            </w:r>
            <w:r w:rsidRPr="006B0B0B">
              <w:rPr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931FEC6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6B0B0B">
              <w:rPr>
                <w:sz w:val="20"/>
                <w:szCs w:val="20"/>
                <w:lang w:val="el-GR" w:eastAsia="el-GR"/>
              </w:rPr>
              <w:t>Πορόλιθοι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1E07C15B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ΕΝ 12326-1</w:t>
            </w:r>
          </w:p>
        </w:tc>
        <w:tc>
          <w:tcPr>
            <w:tcW w:w="2120" w:type="dxa"/>
          </w:tcPr>
          <w:p w14:paraId="4747BF98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</w:p>
        </w:tc>
      </w:tr>
      <w:tr w:rsidR="006B0B0B" w:rsidRPr="006B0B0B" w14:paraId="1997F264" w14:textId="268E0FD3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2C237CC0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</w:t>
            </w:r>
            <w:r w:rsidRPr="006B0B0B">
              <w:rPr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8759243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Ήλοι κοινοί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178FD3E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-</w:t>
            </w:r>
          </w:p>
        </w:tc>
        <w:tc>
          <w:tcPr>
            <w:tcW w:w="2120" w:type="dxa"/>
          </w:tcPr>
          <w:p w14:paraId="3301D0D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120593D0" w14:textId="67B4C07C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53AA903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</w:t>
            </w:r>
            <w:r w:rsidRPr="006B0B0B">
              <w:rPr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672D6C1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Ανοξείδωτες λάμες και κοχλίες σύνδεσης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EA599AE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EN</w:t>
            </w:r>
            <w:r w:rsidRPr="006B0B0B">
              <w:rPr>
                <w:sz w:val="20"/>
                <w:szCs w:val="20"/>
                <w:lang w:val="en-US" w:eastAsia="el-GR"/>
              </w:rPr>
              <w:t xml:space="preserve"> </w:t>
            </w:r>
            <w:r w:rsidRPr="006B0B0B">
              <w:rPr>
                <w:rFonts w:eastAsia="SimSun"/>
                <w:sz w:val="20"/>
                <w:szCs w:val="20"/>
                <w:lang w:val="el-GR"/>
              </w:rPr>
              <w:t>10204</w:t>
            </w:r>
          </w:p>
        </w:tc>
        <w:tc>
          <w:tcPr>
            <w:tcW w:w="2120" w:type="dxa"/>
          </w:tcPr>
          <w:p w14:paraId="1C4937BB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</w:p>
        </w:tc>
      </w:tr>
      <w:tr w:rsidR="006B0B0B" w:rsidRPr="006B0B0B" w14:paraId="3116F131" w14:textId="3FEBBCE0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B043FBE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</w:t>
            </w:r>
            <w:r w:rsidRPr="006B0B0B">
              <w:rPr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D0E4A2A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Μεταλλικές δοκοί (ΙΡΕ200, L80x6)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8402E0F" w14:textId="77777777" w:rsidR="006B0B0B" w:rsidRPr="006B0B0B" w:rsidRDefault="006B0B0B" w:rsidP="006B0B0B">
            <w:pPr>
              <w:tabs>
                <w:tab w:val="left" w:pos="426"/>
              </w:tabs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ΕΝ 10025</w:t>
            </w:r>
          </w:p>
          <w:p w14:paraId="3133D895" w14:textId="77777777" w:rsidR="006B0B0B" w:rsidRPr="006B0B0B" w:rsidRDefault="006B0B0B" w:rsidP="006B0B0B">
            <w:pPr>
              <w:tabs>
                <w:tab w:val="left" w:pos="426"/>
              </w:tabs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EN 10365</w:t>
            </w:r>
          </w:p>
          <w:p w14:paraId="2D088B85" w14:textId="77777777" w:rsidR="006B0B0B" w:rsidRPr="006B0B0B" w:rsidRDefault="006B0B0B" w:rsidP="006B0B0B">
            <w:pPr>
              <w:tabs>
                <w:tab w:val="left" w:pos="426"/>
              </w:tabs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EN 10034</w:t>
            </w:r>
          </w:p>
          <w:p w14:paraId="3BDD3A6B" w14:textId="77777777" w:rsidR="006B0B0B" w:rsidRPr="006B0B0B" w:rsidRDefault="006B0B0B" w:rsidP="006B0B0B">
            <w:pPr>
              <w:tabs>
                <w:tab w:val="left" w:pos="426"/>
              </w:tabs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ΕΝ 1024/2.2</w:t>
            </w:r>
          </w:p>
        </w:tc>
        <w:tc>
          <w:tcPr>
            <w:tcW w:w="2120" w:type="dxa"/>
          </w:tcPr>
          <w:p w14:paraId="51B9C334" w14:textId="77777777" w:rsidR="006B0B0B" w:rsidRPr="006B0B0B" w:rsidRDefault="006B0B0B" w:rsidP="006B0B0B">
            <w:pPr>
              <w:tabs>
                <w:tab w:val="left" w:pos="426"/>
              </w:tabs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</w:p>
        </w:tc>
      </w:tr>
      <w:tr w:rsidR="006B0B0B" w:rsidRPr="006B0B0B" w14:paraId="3ABFC6F1" w14:textId="5E8275F5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582FA1DE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1.20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6619CE9" w14:textId="0EFC96F8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 xml:space="preserve">Προκατασκευασμένοι σπόνδυλοι για καμινάδες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A781E3A" w14:textId="77777777" w:rsid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-</w:t>
            </w:r>
          </w:p>
          <w:p w14:paraId="59CD79A0" w14:textId="21F360FE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2120" w:type="dxa"/>
          </w:tcPr>
          <w:p w14:paraId="4DF43090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502C0A63" w14:textId="2BF7E81E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6A3FE0E4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1.2</w:t>
            </w:r>
            <w:r w:rsidRPr="006B0B0B">
              <w:rPr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FA386C3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Αγωγός αλουμινίου Φ-250 για καμινάδες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09C1B39" w14:textId="579FF35A" w:rsid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EN 1856-1, EN 1856-2</w:t>
            </w:r>
          </w:p>
          <w:p w14:paraId="2F75AAF3" w14:textId="10DCAB8C" w:rsidR="006B0B0B" w:rsidRPr="006B0B0B" w:rsidRDefault="006B0B0B" w:rsidP="00C67995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2120" w:type="dxa"/>
          </w:tcPr>
          <w:p w14:paraId="60909EA3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674B534C" w14:textId="2722C7F4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44975733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1.2</w:t>
            </w:r>
            <w:r w:rsidRPr="006B0B0B">
              <w:rPr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CF91431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6B0B0B">
              <w:rPr>
                <w:sz w:val="20"/>
                <w:szCs w:val="20"/>
                <w:lang w:val="el-GR" w:eastAsia="el-GR"/>
              </w:rPr>
              <w:t>Γωνιόκρανα</w:t>
            </w:r>
            <w:proofErr w:type="spellEnd"/>
            <w:r w:rsidRPr="006B0B0B">
              <w:rPr>
                <w:sz w:val="20"/>
                <w:szCs w:val="20"/>
                <w:lang w:val="el-GR" w:eastAsia="el-GR"/>
              </w:rPr>
              <w:t xml:space="preserve"> ανοξείδωτα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A88A5BE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de-DE" w:eastAsia="el-GR"/>
              </w:rPr>
            </w:pPr>
            <w:r w:rsidRPr="006B0B0B">
              <w:rPr>
                <w:rFonts w:eastAsia="SimSun"/>
                <w:sz w:val="20"/>
                <w:szCs w:val="20"/>
                <w:lang w:val="el-GR"/>
              </w:rPr>
              <w:t>EN 136</w:t>
            </w:r>
            <w:r w:rsidRPr="006B0B0B">
              <w:rPr>
                <w:rFonts w:eastAsia="SimSun"/>
                <w:sz w:val="20"/>
                <w:szCs w:val="20"/>
                <w:lang w:val="de-DE"/>
              </w:rPr>
              <w:t>58</w:t>
            </w:r>
          </w:p>
        </w:tc>
        <w:tc>
          <w:tcPr>
            <w:tcW w:w="2120" w:type="dxa"/>
          </w:tcPr>
          <w:p w14:paraId="7C5DB554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rFonts w:eastAsia="SimSun"/>
                <w:sz w:val="20"/>
                <w:szCs w:val="20"/>
                <w:lang w:val="el-GR"/>
              </w:rPr>
            </w:pPr>
          </w:p>
        </w:tc>
      </w:tr>
      <w:tr w:rsidR="006B0B0B" w:rsidRPr="006B0B0B" w14:paraId="4A00C2B3" w14:textId="3202419E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4FC76C64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1.23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09613BE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bookmarkStart w:id="1" w:name="_Hlk114730949"/>
            <w:r w:rsidRPr="006B0B0B">
              <w:rPr>
                <w:sz w:val="20"/>
                <w:szCs w:val="20"/>
                <w:lang w:val="el-GR" w:eastAsia="el-GR"/>
              </w:rPr>
              <w:t xml:space="preserve">Γυψοσανίδες </w:t>
            </w:r>
            <w:proofErr w:type="spellStart"/>
            <w:r w:rsidRPr="006B0B0B">
              <w:rPr>
                <w:sz w:val="20"/>
                <w:szCs w:val="20"/>
                <w:lang w:val="el-GR" w:eastAsia="el-GR"/>
              </w:rPr>
              <w:t>πυράντοχες</w:t>
            </w:r>
            <w:proofErr w:type="spellEnd"/>
            <w:r w:rsidRPr="006B0B0B">
              <w:rPr>
                <w:sz w:val="20"/>
                <w:szCs w:val="20"/>
                <w:lang w:val="el-GR" w:eastAsia="el-GR"/>
              </w:rPr>
              <w:t xml:space="preserve"> (GKF) πάχους 12,5m</w:t>
            </w:r>
            <w:r w:rsidRPr="006B0B0B">
              <w:rPr>
                <w:sz w:val="20"/>
                <w:szCs w:val="20"/>
                <w:lang w:val="en-US" w:eastAsia="el-GR"/>
              </w:rPr>
              <w:t>m</w:t>
            </w:r>
            <w:bookmarkEnd w:id="1"/>
          </w:p>
        </w:tc>
        <w:tc>
          <w:tcPr>
            <w:tcW w:w="2120" w:type="dxa"/>
            <w:shd w:val="clear" w:color="auto" w:fill="auto"/>
            <w:vAlign w:val="center"/>
          </w:tcPr>
          <w:p w14:paraId="08802A95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de-DE" w:eastAsia="el-GR"/>
              </w:rPr>
            </w:pPr>
            <w:r w:rsidRPr="006B0B0B">
              <w:rPr>
                <w:sz w:val="20"/>
                <w:szCs w:val="20"/>
                <w:lang w:val="de-DE" w:eastAsia="el-GR"/>
              </w:rPr>
              <w:t>EN 520</w:t>
            </w:r>
          </w:p>
          <w:p w14:paraId="37EE3F57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DIN18180</w:t>
            </w:r>
          </w:p>
        </w:tc>
        <w:tc>
          <w:tcPr>
            <w:tcW w:w="2120" w:type="dxa"/>
          </w:tcPr>
          <w:p w14:paraId="1B9C05AB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de-DE" w:eastAsia="el-GR"/>
              </w:rPr>
            </w:pPr>
          </w:p>
        </w:tc>
      </w:tr>
      <w:tr w:rsidR="006B0B0B" w:rsidRPr="006B0B0B" w14:paraId="21525339" w14:textId="4B923E99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1A3A1B8E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1.24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23FD7D9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Μεταλλικός σκελετός στήριξης γυψοσανίδας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4881B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ΕΝ520</w:t>
            </w:r>
          </w:p>
          <w:p w14:paraId="46A41F5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de-DE" w:eastAsia="el-GR"/>
              </w:rPr>
              <w:t>DIN</w:t>
            </w:r>
            <w:r w:rsidRPr="006B0B0B">
              <w:rPr>
                <w:sz w:val="20"/>
                <w:szCs w:val="20"/>
                <w:lang w:val="en-US" w:eastAsia="el-GR"/>
              </w:rPr>
              <w:t>18180</w:t>
            </w:r>
          </w:p>
        </w:tc>
        <w:tc>
          <w:tcPr>
            <w:tcW w:w="2120" w:type="dxa"/>
          </w:tcPr>
          <w:p w14:paraId="44784661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03D0BA64" w14:textId="5530C610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6E4F81A7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</w:t>
            </w:r>
            <w:r w:rsidRPr="006B0B0B">
              <w:rPr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B2DDC99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Πίσσα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401EE87" w14:textId="77777777" w:rsid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ΕΝ 14265</w:t>
            </w:r>
          </w:p>
          <w:p w14:paraId="2974E061" w14:textId="7CADC0F8" w:rsidR="006B0B0B" w:rsidRPr="006B0B0B" w:rsidRDefault="006B0B0B" w:rsidP="00C67995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2120" w:type="dxa"/>
          </w:tcPr>
          <w:p w14:paraId="4B2B30F3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FA7612" w14:paraId="07E1E72C" w14:textId="5301ABA6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98B36F0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</w:t>
            </w:r>
            <w:r w:rsidRPr="006B0B0B">
              <w:rPr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CC78042" w14:textId="643E5143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Λινάτσα (</w:t>
            </w:r>
            <w:r w:rsidRPr="006B0B0B">
              <w:rPr>
                <w:sz w:val="20"/>
                <w:szCs w:val="20"/>
                <w:lang w:val="el-GR" w:eastAsia="el-GR"/>
              </w:rPr>
              <w:t>Δίχτυ προστασίας σκαλωσιάς</w:t>
            </w:r>
            <w:r>
              <w:rPr>
                <w:sz w:val="20"/>
                <w:szCs w:val="20"/>
                <w:lang w:val="el-GR" w:eastAsia="el-GR"/>
              </w:rPr>
              <w:t>)</w:t>
            </w:r>
            <w:r w:rsidRPr="006B0B0B">
              <w:rPr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96FA553" w14:textId="77777777" w:rsid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-</w:t>
            </w:r>
          </w:p>
          <w:p w14:paraId="3C90538C" w14:textId="30D0E341" w:rsidR="00FA7612" w:rsidRPr="006B0B0B" w:rsidRDefault="00FA7612" w:rsidP="00C67995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2120" w:type="dxa"/>
          </w:tcPr>
          <w:p w14:paraId="0222E330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B0B0B" w:rsidRPr="006B0B0B" w14:paraId="29590D8B" w14:textId="0F7260C9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006E3724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</w:t>
            </w:r>
            <w:r w:rsidRPr="006B0B0B">
              <w:rPr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F45FD61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Ασφαλτική μεμβράνη οπλισμένη με πολυεστερικό πλέγμα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B16268A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de-DE" w:eastAsia="el-GR"/>
              </w:rPr>
            </w:pPr>
            <w:r w:rsidRPr="006B0B0B">
              <w:rPr>
                <w:sz w:val="20"/>
                <w:szCs w:val="20"/>
                <w:lang w:val="de-DE" w:eastAsia="el-GR"/>
              </w:rPr>
              <w:t>ΕΝ 13707:2004/ A2:2009, ΕΝ 13969:2004/ A1:200</w:t>
            </w:r>
          </w:p>
          <w:p w14:paraId="7BD1593A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de-DE" w:eastAsia="el-GR"/>
              </w:rPr>
            </w:pPr>
            <w:r w:rsidRPr="006B0B0B">
              <w:rPr>
                <w:sz w:val="20"/>
                <w:szCs w:val="20"/>
                <w:lang w:val="de-DE" w:eastAsia="el-GR"/>
              </w:rPr>
              <w:t>EΝ 1848-1, EN 1849-1, EN 1427, EN 1110, EN 1109, EN 12311-1, EN 12310-1, EN 12730-A, EN 1928, ΕΝ 13707, ΕΝ 13969</w:t>
            </w:r>
          </w:p>
        </w:tc>
        <w:tc>
          <w:tcPr>
            <w:tcW w:w="2120" w:type="dxa"/>
          </w:tcPr>
          <w:p w14:paraId="31F7C947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de-DE" w:eastAsia="el-GR"/>
              </w:rPr>
            </w:pPr>
          </w:p>
        </w:tc>
      </w:tr>
      <w:tr w:rsidR="006B0B0B" w:rsidRPr="00F74C60" w14:paraId="323A32A4" w14:textId="09F17380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5869508E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</w:t>
            </w:r>
            <w:r w:rsidRPr="006B0B0B">
              <w:rPr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B44473A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Ασφαλτική μεμβράνη οπλισμένη με πολυεστερικό πλέγμα και με επικάλυψη ορυκτών ψηφίδων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56D6EA2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de-DE" w:eastAsia="el-GR"/>
              </w:rPr>
            </w:pPr>
            <w:r w:rsidRPr="006B0B0B">
              <w:rPr>
                <w:sz w:val="20"/>
                <w:szCs w:val="20"/>
                <w:lang w:val="de-DE" w:eastAsia="el-GR"/>
              </w:rPr>
              <w:t>ΕΝ 13970, EΝ 1848-1, EN 1849-1, EN 1110, EN 1109, EN 12311-1, ΕΝ 13707, ΕΝ 13969</w:t>
            </w:r>
          </w:p>
        </w:tc>
        <w:tc>
          <w:tcPr>
            <w:tcW w:w="2120" w:type="dxa"/>
          </w:tcPr>
          <w:p w14:paraId="0EE8ACA7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de-DE" w:eastAsia="el-GR"/>
              </w:rPr>
            </w:pPr>
          </w:p>
        </w:tc>
      </w:tr>
      <w:tr w:rsidR="006B0B0B" w:rsidRPr="006B0B0B" w14:paraId="3CA742C1" w14:textId="0F342A29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DB585BB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lastRenderedPageBreak/>
              <w:t>1.</w:t>
            </w:r>
            <w:r w:rsidRPr="006B0B0B">
              <w:rPr>
                <w:sz w:val="20"/>
                <w:szCs w:val="20"/>
                <w:lang w:val="en-US" w:eastAsia="el-GR"/>
              </w:rPr>
              <w:t>29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7D85411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 xml:space="preserve">Ρολό </w:t>
            </w:r>
            <w:proofErr w:type="spellStart"/>
            <w:r w:rsidRPr="006B0B0B">
              <w:rPr>
                <w:sz w:val="20"/>
                <w:szCs w:val="20"/>
                <w:lang w:val="el-GR" w:eastAsia="el-GR"/>
              </w:rPr>
              <w:t>πετροβάμβακα</w:t>
            </w:r>
            <w:proofErr w:type="spellEnd"/>
            <w:r w:rsidRPr="006B0B0B">
              <w:rPr>
                <w:sz w:val="20"/>
                <w:szCs w:val="20"/>
                <w:lang w:val="el-GR" w:eastAsia="el-GR"/>
              </w:rPr>
              <w:t xml:space="preserve"> των 5cm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11DD0D8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6B0B0B">
              <w:rPr>
                <w:sz w:val="20"/>
                <w:szCs w:val="20"/>
                <w:lang w:val="en-US" w:eastAsia="en-US"/>
              </w:rPr>
              <w:t>ΕΝ 14303</w:t>
            </w:r>
          </w:p>
          <w:p w14:paraId="6FE19893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n-US" w:eastAsia="en-US"/>
              </w:rPr>
              <w:t>ΕΝ 13162</w:t>
            </w:r>
          </w:p>
        </w:tc>
        <w:tc>
          <w:tcPr>
            <w:tcW w:w="2120" w:type="dxa"/>
          </w:tcPr>
          <w:p w14:paraId="5F420FCE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6B0B0B" w:rsidRPr="006B0B0B" w14:paraId="2DF7DF8C" w14:textId="0465326C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7B8B52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1.30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40AD7F0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 xml:space="preserve">Μεμβράνη HDPE με αμφίπλευρες κωνικές ή σφαιρικές προεξοχές και επικολλημένο </w:t>
            </w:r>
            <w:proofErr w:type="spellStart"/>
            <w:r w:rsidRPr="006B0B0B">
              <w:rPr>
                <w:sz w:val="20"/>
                <w:szCs w:val="20"/>
                <w:lang w:val="el-GR" w:eastAsia="el-GR"/>
              </w:rPr>
              <w:t>γεωύφασμα</w:t>
            </w:r>
            <w:proofErr w:type="spellEnd"/>
            <w:r w:rsidRPr="006B0B0B">
              <w:rPr>
                <w:sz w:val="20"/>
                <w:szCs w:val="20"/>
                <w:lang w:val="el-GR" w:eastAsia="el-GR"/>
              </w:rPr>
              <w:t xml:space="preserve"> (αυγουλιέρα)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F0AD75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EN 14967</w:t>
            </w:r>
          </w:p>
          <w:p w14:paraId="4DF43DE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lang w:val="el-GR"/>
              </w:rPr>
              <w:t xml:space="preserve"> </w:t>
            </w:r>
            <w:r w:rsidRPr="006B0B0B">
              <w:rPr>
                <w:sz w:val="20"/>
                <w:szCs w:val="20"/>
                <w:lang w:val="en-US" w:eastAsia="el-GR"/>
              </w:rPr>
              <w:t>EN 13252:2016</w:t>
            </w:r>
          </w:p>
        </w:tc>
        <w:tc>
          <w:tcPr>
            <w:tcW w:w="2120" w:type="dxa"/>
          </w:tcPr>
          <w:p w14:paraId="394C11E2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B0B0B" w:rsidRPr="006B0B0B" w14:paraId="24ED9A73" w14:textId="3656CADE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1947D7C7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1.31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42D9F91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Γαλβανισμένο συρματόπλεγμα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54F794F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120" w:type="dxa"/>
          </w:tcPr>
          <w:p w14:paraId="3AB1703B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B0B0B" w:rsidRPr="006B0B0B" w14:paraId="753677BF" w14:textId="442B4925" w:rsidTr="006B0B0B">
        <w:trPr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4A4B03F2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1.</w:t>
            </w:r>
            <w:r w:rsidRPr="006B0B0B">
              <w:rPr>
                <w:sz w:val="20"/>
                <w:szCs w:val="20"/>
                <w:lang w:val="en-US" w:eastAsia="el-GR"/>
              </w:rPr>
              <w:t>32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AE33068" w14:textId="77777777" w:rsidR="006B0B0B" w:rsidRPr="006B0B0B" w:rsidRDefault="006B0B0B" w:rsidP="006B0B0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l-GR" w:eastAsia="el-GR"/>
              </w:rPr>
              <w:t>Δικτυωτό έλασμα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8C4E949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B0B0B">
              <w:rPr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120" w:type="dxa"/>
          </w:tcPr>
          <w:p w14:paraId="4BA1F5BE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bookmarkEnd w:id="0"/>
    </w:tbl>
    <w:p w14:paraId="07A1F9E1" w14:textId="6F381630" w:rsidR="00580BB3" w:rsidRDefault="00580BB3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55B82FCA" w14:textId="160E3812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4257C77E" w14:textId="3C8CF48E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068EC5E1" w14:textId="2E49F77F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1D7816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F74C60" w14:paraId="18BC965A" w14:textId="77777777" w:rsidTr="001D7816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D7816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561B" w14:textId="77777777" w:rsidR="00BE7C0F" w:rsidRDefault="00BE7C0F">
      <w:pPr>
        <w:spacing w:after="0"/>
      </w:pPr>
      <w:r>
        <w:separator/>
      </w:r>
    </w:p>
  </w:endnote>
  <w:endnote w:type="continuationSeparator" w:id="0">
    <w:p w14:paraId="181DD4E1" w14:textId="77777777" w:rsidR="00BE7C0F" w:rsidRDefault="00BE7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087C" w14:textId="77777777" w:rsidR="00BE7C0F" w:rsidRDefault="00BE7C0F">
      <w:pPr>
        <w:spacing w:after="0"/>
      </w:pPr>
      <w:r>
        <w:separator/>
      </w:r>
    </w:p>
  </w:footnote>
  <w:footnote w:type="continuationSeparator" w:id="0">
    <w:p w14:paraId="49685B86" w14:textId="77777777" w:rsidR="00BE7C0F" w:rsidRDefault="00BE7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14B3CBE4" w:rsidR="00EE3934" w:rsidRPr="00E644A3" w:rsidRDefault="00EE3934" w:rsidP="00EE3934">
    <w:pPr>
      <w:pStyle w:val="Header"/>
      <w:jc w:val="center"/>
    </w:pPr>
    <w:r>
      <w:rPr>
        <w:noProof/>
      </w:rPr>
      <w:drawing>
        <wp:inline distT="0" distB="0" distL="0" distR="0" wp14:anchorId="719700A4" wp14:editId="49007C67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2528"/>
    <w:rsid w:val="001D52E9"/>
    <w:rsid w:val="001D7816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3380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2</cp:revision>
  <cp:lastPrinted>2019-08-30T11:17:00Z</cp:lastPrinted>
  <dcterms:created xsi:type="dcterms:W3CDTF">2023-01-16T13:59:00Z</dcterms:created>
  <dcterms:modified xsi:type="dcterms:W3CDTF">2023-01-16T13:59:00Z</dcterms:modified>
</cp:coreProperties>
</file>